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Ind w:w="-176" w:type="dxa"/>
        <w:tblLook w:val="04A0"/>
      </w:tblPr>
      <w:tblGrid>
        <w:gridCol w:w="3970"/>
        <w:gridCol w:w="1896"/>
        <w:gridCol w:w="3828"/>
      </w:tblGrid>
      <w:tr w:rsidR="00DC30BC">
        <w:tc>
          <w:tcPr>
            <w:tcW w:w="3970" w:type="dxa"/>
          </w:tcPr>
          <w:p w:rsidR="00DC30BC" w:rsidRDefault="00083A93">
            <w:pPr>
              <w:spacing w:after="0" w:line="240" w:lineRule="auto"/>
              <w:ind w:left="17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БУРЯАД РЕСПУБЛИКЫН ХУРУМХААНАЙ АЙМАГАЙ АРГАТАТОСХОНОЙ МУНИЦИПАЛЬНА БАЙГУУЛАМЖЫН ЗАХИРГААН</w:t>
            </w:r>
          </w:p>
        </w:tc>
        <w:tc>
          <w:tcPr>
            <w:tcW w:w="1896" w:type="dxa"/>
          </w:tcPr>
          <w:p w:rsidR="00DC30BC" w:rsidRDefault="00083A9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9625" cy="742950"/>
                  <wp:effectExtent l="0" t="0" r="9525" b="0"/>
                  <wp:docPr id="1" name="Рисунок 1" descr="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DC30BC" w:rsidRDefault="00083A93">
            <w:pPr>
              <w:spacing w:after="0" w:line="240" w:lineRule="auto"/>
              <w:jc w:val="both"/>
              <w:rPr>
                <w:rFonts w:cstheme="minorBid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МУНИЦИПАЛЬНОГО ОБРАЗОВАНИЯ СЕЛЬСКОЕ ПОСЕЛЕНИЕ «АРГАДА»</w:t>
            </w:r>
          </w:p>
          <w:p w:rsidR="00DC30BC" w:rsidRDefault="00083A9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КУРУМКАНСКОГО РАЙОНА</w:t>
            </w:r>
          </w:p>
          <w:p w:rsidR="00DC30BC" w:rsidRDefault="00083A9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/>
      </w:tblPr>
      <w:tblGrid>
        <w:gridCol w:w="9375"/>
      </w:tblGrid>
      <w:tr w:rsidR="00DC30BC" w:rsidRPr="0059047E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DC30BC" w:rsidRPr="0059047E" w:rsidRDefault="00083A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9047E">
              <w:rPr>
                <w:sz w:val="18"/>
                <w:szCs w:val="18"/>
              </w:rPr>
              <w:t xml:space="preserve">671634, Республика Бурятия, с. Аргада, ул. Хышиктуева, 8,тел./факс (8-30149) 93-620, </w:t>
            </w:r>
            <w:r w:rsidRPr="0059047E">
              <w:rPr>
                <w:sz w:val="18"/>
                <w:szCs w:val="18"/>
                <w:lang w:val="en-US"/>
              </w:rPr>
              <w:t>e</w:t>
            </w:r>
            <w:r w:rsidRPr="0059047E">
              <w:rPr>
                <w:sz w:val="18"/>
                <w:szCs w:val="18"/>
              </w:rPr>
              <w:t>-</w:t>
            </w:r>
            <w:r w:rsidRPr="0059047E">
              <w:rPr>
                <w:sz w:val="18"/>
                <w:szCs w:val="18"/>
                <w:lang w:val="en-US"/>
              </w:rPr>
              <w:t>mail</w:t>
            </w:r>
            <w:r w:rsidRPr="0059047E">
              <w:rPr>
                <w:sz w:val="18"/>
                <w:szCs w:val="18"/>
              </w:rPr>
              <w:t>:</w:t>
            </w:r>
            <w:r w:rsidRPr="0059047E">
              <w:rPr>
                <w:sz w:val="18"/>
                <w:szCs w:val="18"/>
                <w:lang w:val="en-US"/>
              </w:rPr>
              <w:t>adm</w:t>
            </w:r>
            <w:r w:rsidRPr="0059047E">
              <w:rPr>
                <w:sz w:val="18"/>
                <w:szCs w:val="18"/>
              </w:rPr>
              <w:t>argada@</w:t>
            </w:r>
            <w:r w:rsidRPr="0059047E">
              <w:rPr>
                <w:sz w:val="18"/>
                <w:szCs w:val="18"/>
                <w:lang w:val="en-US"/>
              </w:rPr>
              <w:t>yandex</w:t>
            </w:r>
            <w:r w:rsidRPr="0059047E">
              <w:rPr>
                <w:sz w:val="18"/>
                <w:szCs w:val="18"/>
              </w:rPr>
              <w:t>.</w:t>
            </w:r>
            <w:r w:rsidRPr="0059047E">
              <w:rPr>
                <w:sz w:val="18"/>
                <w:szCs w:val="18"/>
                <w:lang w:val="en-US"/>
              </w:rPr>
              <w:t>ru</w:t>
            </w:r>
          </w:p>
        </w:tc>
      </w:tr>
    </w:tbl>
    <w:p w:rsidR="00DC30BC" w:rsidRDefault="00DC30BC">
      <w:pPr>
        <w:spacing w:after="0" w:line="360" w:lineRule="auto"/>
        <w:jc w:val="center"/>
        <w:rPr>
          <w:b/>
        </w:rPr>
      </w:pPr>
    </w:p>
    <w:p w:rsidR="00DC30BC" w:rsidRDefault="00083A93">
      <w:pPr>
        <w:spacing w:after="0" w:line="360" w:lineRule="auto"/>
        <w:jc w:val="center"/>
        <w:rPr>
          <w:b/>
        </w:rPr>
      </w:pPr>
      <w:r>
        <w:rPr>
          <w:b/>
        </w:rPr>
        <w:t>ТОГТООЛ</w:t>
      </w:r>
    </w:p>
    <w:p w:rsidR="00DC30BC" w:rsidRDefault="00083A93">
      <w:pPr>
        <w:spacing w:after="0" w:line="360" w:lineRule="auto"/>
        <w:jc w:val="center"/>
        <w:rPr>
          <w:b/>
          <w:u w:val="single"/>
        </w:rPr>
      </w:pPr>
      <w:r>
        <w:rPr>
          <w:b/>
        </w:rPr>
        <w:t>ПОСТАНОВЛЕНИЕ № 29</w:t>
      </w:r>
    </w:p>
    <w:p w:rsidR="00DC30BC" w:rsidRDefault="00083A93">
      <w:pPr>
        <w:spacing w:after="0" w:line="360" w:lineRule="auto"/>
        <w:jc w:val="center"/>
        <w:rPr>
          <w:b/>
        </w:rPr>
      </w:pPr>
      <w:r>
        <w:rPr>
          <w:b/>
        </w:rPr>
        <w:t xml:space="preserve">от « 18  »  </w:t>
      </w:r>
      <w:r>
        <w:rPr>
          <w:b/>
          <w:u w:val="single"/>
        </w:rPr>
        <w:t xml:space="preserve">мая  </w:t>
      </w:r>
      <w:r>
        <w:rPr>
          <w:b/>
        </w:rPr>
        <w:t xml:space="preserve"> 20</w:t>
      </w:r>
      <w:r>
        <w:rPr>
          <w:b/>
          <w:u w:val="single"/>
        </w:rPr>
        <w:t xml:space="preserve">17 </w:t>
      </w:r>
      <w:r>
        <w:rPr>
          <w:b/>
        </w:rPr>
        <w:t>года</w:t>
      </w:r>
    </w:p>
    <w:p w:rsidR="00DC30BC" w:rsidRDefault="00083A93">
      <w:pPr>
        <w:spacing w:after="0"/>
      </w:pPr>
      <w:r>
        <w:t>«Об утверждении Порядка обжалования</w:t>
      </w:r>
    </w:p>
    <w:p w:rsidR="00DC30BC" w:rsidRDefault="00083A93">
      <w:pPr>
        <w:spacing w:after="0"/>
      </w:pPr>
      <w:r>
        <w:t>муниципальных нормативных правовых актов»</w:t>
      </w:r>
    </w:p>
    <w:p w:rsidR="00DC30BC" w:rsidRDefault="00DC30BC">
      <w:pPr>
        <w:autoSpaceDE w:val="0"/>
        <w:autoSpaceDN w:val="0"/>
        <w:adjustRightInd w:val="0"/>
        <w:spacing w:after="0"/>
        <w:rPr>
          <w:rFonts w:eastAsia="Calibri"/>
        </w:rPr>
      </w:pPr>
    </w:p>
    <w:p w:rsidR="00DC30BC" w:rsidRDefault="00083A93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В соответствии со ст. 24, 26, 27, 251 Гражданского процессуального кодекса РФ, 191,192 Арбитражного процессуального кодекса РФ </w:t>
      </w:r>
    </w:p>
    <w:p w:rsidR="00DC30BC" w:rsidRDefault="00DC30BC">
      <w:pPr>
        <w:autoSpaceDE w:val="0"/>
        <w:autoSpaceDN w:val="0"/>
        <w:adjustRightInd w:val="0"/>
        <w:jc w:val="center"/>
        <w:rPr>
          <w:color w:val="000000"/>
        </w:rPr>
      </w:pPr>
    </w:p>
    <w:p w:rsidR="00DC30BC" w:rsidRDefault="00083A93">
      <w:pPr>
        <w:autoSpaceDE w:val="0"/>
        <w:autoSpaceDN w:val="0"/>
        <w:adjustRightInd w:val="0"/>
        <w:jc w:val="center"/>
      </w:pPr>
      <w:r>
        <w:t>ПОСТАНОВЛЯЮ:</w:t>
      </w:r>
    </w:p>
    <w:p w:rsidR="00DC30BC" w:rsidRDefault="00083A93">
      <w:pPr>
        <w:pStyle w:val="a4"/>
        <w:numPr>
          <w:ilvl w:val="0"/>
          <w:numId w:val="1"/>
        </w:numPr>
        <w:spacing w:after="0"/>
      </w:pPr>
      <w:r>
        <w:rPr>
          <w:color w:val="000000"/>
        </w:rPr>
        <w:t xml:space="preserve">Утвердить Порядок </w:t>
      </w:r>
      <w:r>
        <w:t xml:space="preserve">обжалования  муниципальных нормативных правовых актов» </w:t>
      </w:r>
      <w:r>
        <w:rPr>
          <w:color w:val="000000"/>
        </w:rPr>
        <w:t>согласно приложению.</w:t>
      </w:r>
    </w:p>
    <w:p w:rsidR="00DC30BC" w:rsidRDefault="00DC30BC">
      <w:pPr>
        <w:pStyle w:val="a4"/>
        <w:spacing w:after="0"/>
      </w:pPr>
    </w:p>
    <w:p w:rsidR="00DC30BC" w:rsidRDefault="00083A93">
      <w:pPr>
        <w:pStyle w:val="a4"/>
        <w:numPr>
          <w:ilvl w:val="0"/>
          <w:numId w:val="1"/>
        </w:numPr>
        <w:spacing w:after="0"/>
      </w:pPr>
      <w:r>
        <w:rPr>
          <w:color w:val="000000"/>
        </w:rPr>
        <w:t xml:space="preserve"> Настоящее постановление вступает в силу со дня его                  обнародования/опубликования.</w:t>
      </w:r>
    </w:p>
    <w:p w:rsidR="00DC30BC" w:rsidRDefault="00DC30BC">
      <w:pPr>
        <w:spacing w:after="0" w:line="240" w:lineRule="auto"/>
        <w:ind w:left="709" w:hanging="567"/>
        <w:jc w:val="both"/>
        <w:rPr>
          <w:bCs/>
          <w:i/>
        </w:rPr>
      </w:pPr>
    </w:p>
    <w:p w:rsidR="00DC30BC" w:rsidRDefault="00DC30BC">
      <w:pPr>
        <w:spacing w:after="0" w:line="240" w:lineRule="auto"/>
        <w:rPr>
          <w:b/>
        </w:rPr>
      </w:pPr>
    </w:p>
    <w:p w:rsidR="00DC30BC" w:rsidRDefault="00DC30BC">
      <w:pPr>
        <w:spacing w:after="0" w:line="240" w:lineRule="auto"/>
        <w:rPr>
          <w:b/>
        </w:rPr>
      </w:pPr>
    </w:p>
    <w:p w:rsidR="00DC30BC" w:rsidRDefault="00083A93">
      <w:pPr>
        <w:spacing w:after="0" w:line="240" w:lineRule="auto"/>
        <w:rPr>
          <w:b/>
        </w:rPr>
      </w:pPr>
      <w:r>
        <w:rPr>
          <w:b/>
        </w:rPr>
        <w:t xml:space="preserve">Глава МО </w:t>
      </w:r>
    </w:p>
    <w:p w:rsidR="00DC30BC" w:rsidRDefault="00083A93">
      <w:pPr>
        <w:spacing w:after="0" w:line="240" w:lineRule="auto"/>
        <w:rPr>
          <w:b/>
        </w:rPr>
      </w:pPr>
      <w:r>
        <w:rPr>
          <w:b/>
        </w:rPr>
        <w:t>сельское поселение «Аргада»                                                  Б.Б. Дондупов</w:t>
      </w:r>
    </w:p>
    <w:p w:rsidR="00DC30BC" w:rsidRDefault="00DC30BC">
      <w:pPr>
        <w:spacing w:after="0"/>
      </w:pPr>
    </w:p>
    <w:p w:rsidR="00DC30BC" w:rsidRDefault="00DC30BC"/>
    <w:p w:rsidR="00DC30BC" w:rsidRDefault="00DC30BC"/>
    <w:p w:rsidR="00DC30BC" w:rsidRDefault="00DC30BC"/>
    <w:p w:rsidR="00DC30BC" w:rsidRDefault="00DC30BC"/>
    <w:p w:rsidR="00DC30BC" w:rsidRDefault="00DC30BC"/>
    <w:p w:rsidR="00DC30BC" w:rsidRDefault="00DC30BC"/>
    <w:p w:rsidR="00DC30BC" w:rsidRDefault="00DC30BC"/>
    <w:p w:rsidR="00DC30BC" w:rsidRDefault="00083A93">
      <w:pPr>
        <w:spacing w:after="0" w:line="240" w:lineRule="auto"/>
        <w:jc w:val="right"/>
      </w:pPr>
      <w:r>
        <w:lastRenderedPageBreak/>
        <w:t xml:space="preserve">Приложение к Постановлению </w:t>
      </w:r>
    </w:p>
    <w:p w:rsidR="00DC30BC" w:rsidRDefault="00083A93">
      <w:pPr>
        <w:spacing w:after="0" w:line="240" w:lineRule="auto"/>
        <w:jc w:val="right"/>
        <w:rPr>
          <w:u w:val="single"/>
        </w:rPr>
      </w:pPr>
      <w:r>
        <w:t xml:space="preserve">от </w:t>
      </w:r>
      <w:r>
        <w:rPr>
          <w:u w:val="single"/>
        </w:rPr>
        <w:t>18</w:t>
      </w:r>
      <w:r>
        <w:t>.</w:t>
      </w:r>
      <w:r>
        <w:rPr>
          <w:u w:val="single"/>
        </w:rPr>
        <w:t>05</w:t>
      </w:r>
      <w:r>
        <w:t>.20</w:t>
      </w:r>
      <w:r>
        <w:rPr>
          <w:u w:val="single"/>
        </w:rPr>
        <w:t>17</w:t>
      </w:r>
      <w:r>
        <w:t xml:space="preserve">г. № </w:t>
      </w:r>
      <w:r>
        <w:rPr>
          <w:u w:val="single"/>
        </w:rPr>
        <w:t>27</w:t>
      </w:r>
    </w:p>
    <w:p w:rsidR="00DC30BC" w:rsidRDefault="00DC30BC">
      <w:pPr>
        <w:spacing w:after="0"/>
      </w:pPr>
    </w:p>
    <w:p w:rsidR="00DC30BC" w:rsidRDefault="00083A93">
      <w:pP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DC30BC" w:rsidRDefault="00083A93">
      <w:pP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обжалования нормативных правовых актов и иных решений, органов местного самоуправления муниципального образования </w:t>
      </w:r>
    </w:p>
    <w:p w:rsidR="00DC30BC" w:rsidRDefault="00083A93">
      <w:pP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сельское поселение «Аргада»</w:t>
      </w:r>
    </w:p>
    <w:p w:rsidR="00DC30BC" w:rsidRDefault="00DC30BC">
      <w:pPr>
        <w:spacing w:after="0" w:line="240" w:lineRule="auto"/>
        <w:ind w:firstLine="567"/>
        <w:jc w:val="center"/>
        <w:rPr>
          <w:color w:val="000000"/>
        </w:rPr>
      </w:pPr>
    </w:p>
    <w:p w:rsidR="00DC30BC" w:rsidRDefault="00083A93">
      <w:pPr>
        <w:spacing w:after="0" w:line="240" w:lineRule="auto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Общие Положения.</w:t>
      </w:r>
    </w:p>
    <w:p w:rsidR="00DC30BC" w:rsidRDefault="00DC30BC">
      <w:pPr>
        <w:spacing w:after="0" w:line="240" w:lineRule="auto"/>
        <w:ind w:firstLine="567"/>
        <w:jc w:val="center"/>
        <w:rPr>
          <w:color w:val="000000"/>
        </w:rPr>
      </w:pPr>
    </w:p>
    <w:p w:rsidR="00DC30BC" w:rsidRDefault="00083A93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1. Гражданин, организация, считающие, что принятым и опубликованным в </w:t>
      </w:r>
      <w:r>
        <w:rPr>
          <w:rFonts w:eastAsia="Times New Roman"/>
          <w:color w:val="000000"/>
          <w:lang w:eastAsia="ru-RU"/>
        </w:rPr>
        <w:t>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</w:t>
      </w:r>
      <w:r>
        <w:rPr>
          <w:rFonts w:eastAsia="Times New Roman"/>
          <w:color w:val="000000"/>
          <w:lang w:eastAsia="ru-RU"/>
        </w:rPr>
        <w:t>д с заявлением о признании этого акта противоречащим закону полностью или в части.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2. 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Федерации, Правительство Рос</w:t>
      </w:r>
      <w:r>
        <w:rPr>
          <w:color w:val="000000"/>
        </w:rPr>
        <w:t>сийской Федерации, законодательный (представительный) орган субъекта Российской Федерации, высшее должностное лицо субъекта Российской Федерации, орган местного самоуправления, глава муниципального образования, считающие, что принятым и опубликованным в ус</w:t>
      </w:r>
      <w:r>
        <w:rPr>
          <w:color w:val="000000"/>
        </w:rPr>
        <w:t>тановленном порядке нормативным правовым актом нарушена их компетенция.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3.  Заявления об оспаривании нормативных правовых актов  подаются в районный суд по месту нахождения органа государственной власти, органа местного самоуправления или должностного лиц</w:t>
      </w:r>
      <w:r>
        <w:rPr>
          <w:color w:val="000000"/>
        </w:rPr>
        <w:t>а, принявших нормативный правовой акт.</w:t>
      </w:r>
    </w:p>
    <w:p w:rsidR="00DC30BC" w:rsidRDefault="00083A9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Порядок </w:t>
      </w:r>
    </w:p>
    <w:p w:rsidR="00DC30BC" w:rsidRDefault="00083A9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обжалования муниципальных нормативных правовых актов</w:t>
      </w:r>
    </w:p>
    <w:p w:rsidR="00DC30BC" w:rsidRDefault="00DC30BC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lang w:eastAsia="ru-RU"/>
        </w:rPr>
      </w:pP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1.  Заявление об оспаривании нормативного правового акта подается в суд в письменной форме, в котором должны быть указаны: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1) наименование суда, в который</w:t>
      </w:r>
      <w:r>
        <w:rPr>
          <w:rFonts w:eastAsia="Times New Roman"/>
          <w:color w:val="000000"/>
          <w:lang w:eastAsia="ru-RU"/>
        </w:rPr>
        <w:t xml:space="preserve"> подается заявление;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2) наименование истца (заявителя), его место жительства или, если истцом (заявителем)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3) данные о наимен</w:t>
      </w:r>
      <w:r>
        <w:rPr>
          <w:rFonts w:eastAsia="Times New Roman"/>
          <w:color w:val="000000"/>
          <w:lang w:eastAsia="ru-RU"/>
        </w:rPr>
        <w:t>овании органа местного самоуправления или должностного лица, принявших оспариваемый нормативный правовой акт, его место нахождения;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4) наименование  нормативного правового акта и дата принятия;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5) в чем заключается нарушение либо угроза нарушения прав, сво</w:t>
      </w:r>
      <w:r>
        <w:rPr>
          <w:rFonts w:eastAsia="Times New Roman"/>
          <w:color w:val="000000"/>
          <w:lang w:eastAsia="ru-RU"/>
        </w:rPr>
        <w:t>бод или законных интересов истца и его требования;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6) указание, какие права и свободы гражданина или неопределенного круга лиц нарушаются этим актом или его частью;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7) обстоятельства, на которых истец основывает свои требования, и доказательства, </w:t>
      </w:r>
      <w:r>
        <w:rPr>
          <w:rFonts w:eastAsia="Times New Roman"/>
          <w:color w:val="000000"/>
          <w:lang w:eastAsia="ru-RU"/>
        </w:rPr>
        <w:t>подтверждающие эти обстоятельства;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8) перечень прилагаемых к заявлению документов.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</w:t>
      </w:r>
      <w:r>
        <w:rPr>
          <w:rFonts w:eastAsia="Times New Roman"/>
          <w:color w:val="000000"/>
          <w:lang w:eastAsia="ru-RU"/>
        </w:rPr>
        <w:t>решения дела, а также изложены ходатайства истца.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</w:t>
      </w:r>
      <w:r>
        <w:rPr>
          <w:rFonts w:eastAsia="Times New Roman"/>
          <w:color w:val="000000"/>
          <w:lang w:eastAsia="ru-RU"/>
        </w:rPr>
        <w:t>.</w:t>
      </w:r>
    </w:p>
    <w:p w:rsidR="00DC30BC" w:rsidRDefault="00083A9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Порядок </w:t>
      </w:r>
    </w:p>
    <w:p w:rsidR="00DC30BC" w:rsidRDefault="00083A9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обжалования муниципальных нормативных правовых актов, затрагивающих права и законные интересы лиц в сфере предпринимательской и иной экономической деятельности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1. Граждане, организации и иные лица вправе обратиться в арбитражный суд с заявлени</w:t>
      </w:r>
      <w:r>
        <w:rPr>
          <w:rFonts w:eastAsia="Times New Roman"/>
          <w:color w:val="000000"/>
          <w:lang w:eastAsia="ru-RU"/>
        </w:rPr>
        <w:t>ем о признании недействующим нормативного правового акта, принятого органом местного самоуправления,  должностным лицом, если полагают, что оспариваемый нормативный правовой акт или отдельные его положения не соответствуют закону или иному нормативному пра</w:t>
      </w:r>
      <w:r>
        <w:rPr>
          <w:rFonts w:eastAsia="Times New Roman"/>
          <w:color w:val="000000"/>
          <w:lang w:eastAsia="ru-RU"/>
        </w:rPr>
        <w:t>вовому акту, имеющим большую юридическую силу,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 или создают иные препятствия для осуществления предприни</w:t>
      </w:r>
      <w:r>
        <w:rPr>
          <w:rFonts w:eastAsia="Times New Roman"/>
          <w:color w:val="000000"/>
          <w:lang w:eastAsia="ru-RU"/>
        </w:rPr>
        <w:t>мательской и иной экономической деятельности.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В заявлении должны быть также указаны: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1) наименование органа местного самоуправления, должностного лица, принявших оспариваемый нормативный правовой акт;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2) название, номер, дата принятия, источник опублик</w:t>
      </w:r>
      <w:r>
        <w:rPr>
          <w:rFonts w:eastAsia="Times New Roman"/>
          <w:color w:val="000000"/>
          <w:lang w:eastAsia="ru-RU"/>
        </w:rPr>
        <w:t>ования и иные данные об оспариваемом нормативном правовом акте;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3)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4) название нормативного правового акта, который имеет </w:t>
      </w:r>
      <w:r>
        <w:rPr>
          <w:rFonts w:eastAsia="Times New Roman"/>
          <w:color w:val="000000"/>
          <w:lang w:eastAsia="ru-RU"/>
        </w:rPr>
        <w:t>большую юридическую силу и на соответствие которому надлежит проверить оспариваемый акт или его отдельные положения;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5) требование заявителя о признании оспариваемого акта недействующим;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6) перечень прилагаемых документов.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К заявлению прилагаются документы</w:t>
      </w:r>
      <w:r>
        <w:rPr>
          <w:rFonts w:eastAsia="Times New Roman"/>
          <w:color w:val="000000"/>
          <w:lang w:eastAsia="ru-RU"/>
        </w:rPr>
        <w:t>, указанные в пунктах 1 - 5 статьи 126 АПК РФ, а также текст оспариваемого нормативного правового акта.</w:t>
      </w:r>
    </w:p>
    <w:p w:rsidR="00DC30BC" w:rsidRDefault="00DC30BC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DC30BC" w:rsidRDefault="00DC30B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C30BC" w:rsidRDefault="00DC30B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C30BC" w:rsidRDefault="00DC30BC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DC30BC" w:rsidRDefault="00083A93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lastRenderedPageBreak/>
        <w:t> </w:t>
      </w:r>
      <w:r>
        <w:rPr>
          <w:rFonts w:eastAsia="Times New Roman"/>
          <w:b/>
          <w:bCs/>
          <w:color w:val="000000"/>
          <w:lang w:eastAsia="ru-RU"/>
        </w:rPr>
        <w:t xml:space="preserve">Порядок </w:t>
      </w:r>
    </w:p>
    <w:p w:rsidR="00DC30BC" w:rsidRDefault="00083A9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обжалования решений, действий (бездействия) Администрации муниципального образования сельское поселение «Аргада»,  самоуправления, должнос</w:t>
      </w:r>
      <w:r>
        <w:rPr>
          <w:rFonts w:eastAsia="Times New Roman"/>
          <w:b/>
          <w:bCs/>
          <w:color w:val="000000"/>
          <w:lang w:eastAsia="ru-RU"/>
        </w:rPr>
        <w:t>тных лиц, специалистов.</w:t>
      </w:r>
    </w:p>
    <w:p w:rsidR="00DC30BC" w:rsidRDefault="00DC30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  1.  </w:t>
      </w:r>
      <w:r>
        <w:rPr>
          <w:rFonts w:eastAsia="Times New Roman"/>
          <w:color w:val="000000"/>
          <w:lang w:eastAsia="ru-RU"/>
        </w:rPr>
        <w:t>Гражданин, организация вправе оспорить в суде решение, действие (бездействие)  </w:t>
      </w:r>
      <w:r>
        <w:rPr>
          <w:rFonts w:eastAsia="Times New Roman"/>
          <w:bCs/>
          <w:color w:val="000000"/>
          <w:lang w:eastAsia="ru-RU"/>
        </w:rPr>
        <w:t>Администрации муниципального образования сельское поселение «Аргада»,  должностных лиц, специалистов</w:t>
      </w:r>
      <w:r>
        <w:rPr>
          <w:rFonts w:eastAsia="Times New Roman"/>
          <w:color w:val="000000"/>
          <w:lang w:eastAsia="ru-RU"/>
        </w:rPr>
        <w:t xml:space="preserve">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лицу. 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2. К решениям, действиям (бездействию) </w:t>
      </w:r>
      <w:r>
        <w:rPr>
          <w:rFonts w:eastAsia="Times New Roman"/>
          <w:bCs/>
          <w:color w:val="000000"/>
          <w:lang w:eastAsia="ru-RU"/>
        </w:rPr>
        <w:t>Админист</w:t>
      </w:r>
      <w:r>
        <w:rPr>
          <w:rFonts w:eastAsia="Times New Roman"/>
          <w:bCs/>
          <w:color w:val="000000"/>
          <w:lang w:eastAsia="ru-RU"/>
        </w:rPr>
        <w:t>рации муниципального образования сельское поселение «Аргада»,  должностных лиц</w:t>
      </w:r>
      <w:r>
        <w:rPr>
          <w:rFonts w:eastAsia="Times New Roman"/>
          <w:color w:val="000000"/>
          <w:lang w:eastAsia="ru-RU"/>
        </w:rPr>
        <w:t>, специалистов,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- нарушены пра</w:t>
      </w:r>
      <w:r>
        <w:rPr>
          <w:rFonts w:eastAsia="Times New Roman"/>
          <w:color w:val="000000"/>
          <w:lang w:eastAsia="ru-RU"/>
        </w:rPr>
        <w:t>ва и свободы гражданина;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- созданы препятствия к осуществлению гражданином его прав и свобод;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>- на гражданина незаконно возложена какая-либо обязанность или он незаконно привлечен к ответственности.</w:t>
      </w: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3.</w:t>
      </w:r>
      <w:r>
        <w:rPr>
          <w:color w:val="000000"/>
        </w:rPr>
        <w:t xml:space="preserve"> Действия (бездействие) и решения Администрации муниц</w:t>
      </w:r>
      <w:r>
        <w:rPr>
          <w:color w:val="000000"/>
        </w:rPr>
        <w:t xml:space="preserve">ипального образования сельское поселение «Аргада» могут быть обжалованы заинтересованными лицами в досудебном и судебном порядке и в соответствии с законодательством Российской Федерации. Заявители могут обжаловать действия или бездействия в Администрацию </w:t>
      </w:r>
      <w:r>
        <w:rPr>
          <w:color w:val="000000"/>
        </w:rPr>
        <w:t xml:space="preserve">Курумканского района или в судебном порядке. Заявители имеют право обратиться с жалобой лично или направить письменное обращение, жалобу (претензию). При обращении заявителей в письменной форме рассмотрение обращений граждан и организаций осуществляется в </w:t>
      </w:r>
      <w:r>
        <w:rPr>
          <w:color w:val="000000"/>
        </w:rPr>
        <w:t xml:space="preserve">порядке, установленном нормативными правовыми актами Российской Федерации и Республики Бурятия. Обращения иных заинтересованных лиц рассматриваются в течение 30 дней со дня их поступления в Администрацию сельского поселения. Если в результате рассмотрения </w:t>
      </w:r>
      <w:r>
        <w:rPr>
          <w:color w:val="000000"/>
        </w:rPr>
        <w:t>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При обращении заявителей в письменной форме срок рассмотрения жалобы не должен превышать 30 дней с моме</w:t>
      </w:r>
      <w:r>
        <w:rPr>
          <w:color w:val="000000"/>
        </w:rPr>
        <w:t xml:space="preserve">нта регистрации такого обращения.  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2.3. В заявлении должны быть указаны: 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1) наименование органа местного самоуправления, должностного лица, принявших оспариваемый нормативный правовой акт; 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2)   название, номер, дата принятия, источник опубликования;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 xml:space="preserve"> права и законные интересы заявителя, которые, по его мнению, нарушаются этим оспариваемым актом или его отдельными положениями; 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4) название нормативного правового акта, который имеет большую юридическую силу и на соответствие которому надлежит проверить </w:t>
      </w:r>
      <w:r>
        <w:rPr>
          <w:color w:val="000000"/>
        </w:rPr>
        <w:t>оспариваемый акт или его отдельные положения;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5) требование заявителя о признании оспариваемого акта недействующим; </w:t>
      </w:r>
    </w:p>
    <w:p w:rsidR="00DC30BC" w:rsidRDefault="00083A93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6) перечень прилагаемых документов.</w:t>
      </w:r>
    </w:p>
    <w:p w:rsidR="00DC30BC" w:rsidRDefault="00083A93">
      <w:pPr>
        <w:spacing w:after="0" w:line="240" w:lineRule="auto"/>
        <w:jc w:val="both"/>
      </w:pPr>
      <w:r>
        <w:rPr>
          <w:color w:val="000000"/>
        </w:rPr>
        <w:t xml:space="preserve"> Заявитель в своём письменном обращении  указывает свои фамилию, имя, отчество, полное наименование для</w:t>
      </w:r>
      <w:r>
        <w:rPr>
          <w:color w:val="000000"/>
        </w:rPr>
        <w:t xml:space="preserve">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По результатам рассмотрения жалобы специалистом принимается </w:t>
      </w:r>
      <w:r>
        <w:rPr>
          <w:color w:val="000000"/>
        </w:rPr>
        <w:t xml:space="preserve">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 направляется заявителю. Если в письменном обращении не указаны фамилия заявителя, направившего обращение, </w:t>
      </w:r>
      <w:r>
        <w:rPr>
          <w:color w:val="000000"/>
        </w:rPr>
        <w:t>и почтовый адрес, по которому должен быть направлен ответ, ответ на обращение не даётся. При получении письменного обращения, в котором содержатся нецензурные либо оскорбительные выражения, угрозы жизни, здоровью и имуществу специалиста, а также членов его</w:t>
      </w:r>
      <w:r>
        <w:rPr>
          <w:color w:val="000000"/>
        </w:rPr>
        <w:t xml:space="preserve">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 Если текст письменного обращения не поддается прочтению, ответ на обращение не даётс</w:t>
      </w:r>
      <w:r>
        <w:rPr>
          <w:color w:val="000000"/>
        </w:rPr>
        <w:t>я, о чём сообщается заявителю, направившему обращение, если его фамилия и почтовый адрес поддаются прочтению. Если в письменном обращении заявителя содержится вопрос, на который заявителю многократно давались письменные ответы по существу в связи с ранее н</w:t>
      </w:r>
      <w:r>
        <w:rPr>
          <w:color w:val="000000"/>
        </w:rPr>
        <w:t xml:space="preserve">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</w:t>
      </w:r>
      <w:r>
        <w:rPr>
          <w:color w:val="000000"/>
        </w:rPr>
        <w:t>О данном решении уведомляется заявитель, направивший обращение.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</w:t>
      </w:r>
      <w:r>
        <w:rPr>
          <w:color w:val="000000"/>
        </w:rPr>
        <w:t>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сведений. Если причины, по которым ответ по существу поставленных в обращении вопросов не мог быть дан, в посл</w:t>
      </w:r>
      <w:r>
        <w:rPr>
          <w:color w:val="000000"/>
        </w:rPr>
        <w:t>едующем были устранены, заявитель вправе вновь направить повторное обращение. Заявители могут сообщить о нарушении своих прав и законных интересов, противоправных решениях, действиях или бездействии специалистов, некорректном поведении или нарушении служеб</w:t>
      </w:r>
      <w:r>
        <w:rPr>
          <w:color w:val="000000"/>
        </w:rPr>
        <w:t>ной этики по средством телефонной связи:</w:t>
      </w:r>
      <w:r>
        <w:t>8-30149) 93-620,</w:t>
      </w:r>
      <w:r>
        <w:rPr>
          <w:color w:val="000000"/>
        </w:rPr>
        <w:t xml:space="preserve">  по электронной почте: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adm</w:t>
      </w:r>
      <w:r>
        <w:t>argada@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  <w:r>
        <w:rPr>
          <w:color w:val="000000"/>
        </w:rPr>
        <w:t xml:space="preserve"> или через форму обратной связи Интернет – официального сайта Администрации  сельского поселения «Аргада» по адресу: </w:t>
      </w:r>
      <w:hyperlink r:id="rId9" w:history="1">
        <w:r>
          <w:rPr>
            <w:rStyle w:val="a3"/>
            <w:lang w:val="en-US"/>
          </w:rPr>
          <w:t>ht</w:t>
        </w:r>
        <w:r>
          <w:rPr>
            <w:rStyle w:val="a3"/>
            <w:lang w:val="en-US"/>
          </w:rPr>
          <w:t>tp</w:t>
        </w:r>
        <w:r>
          <w:rPr>
            <w:rStyle w:val="a3"/>
          </w:rPr>
          <w:t>://аргада.рф/</w:t>
        </w:r>
      </w:hyperlink>
    </w:p>
    <w:p w:rsidR="00DC30BC" w:rsidRDefault="00DC30BC">
      <w:pPr>
        <w:spacing w:after="0" w:line="240" w:lineRule="auto"/>
        <w:jc w:val="both"/>
        <w:rPr>
          <w:color w:val="000000"/>
        </w:rPr>
      </w:pPr>
    </w:p>
    <w:p w:rsidR="00DC30BC" w:rsidRDefault="00083A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C30BC" w:rsidRDefault="00DC30BC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C30BC" w:rsidRDefault="00083A93">
      <w:pPr>
        <w:spacing w:after="0" w:line="240" w:lineRule="auto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DC30BC" w:rsidSect="00DC30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93" w:rsidRDefault="00083A93">
      <w:pPr>
        <w:spacing w:line="240" w:lineRule="auto"/>
      </w:pPr>
      <w:r>
        <w:separator/>
      </w:r>
    </w:p>
  </w:endnote>
  <w:endnote w:type="continuationSeparator" w:id="1">
    <w:p w:rsidR="00083A93" w:rsidRDefault="00083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93" w:rsidRDefault="00083A93">
      <w:pPr>
        <w:spacing w:after="0"/>
      </w:pPr>
      <w:r>
        <w:separator/>
      </w:r>
    </w:p>
  </w:footnote>
  <w:footnote w:type="continuationSeparator" w:id="1">
    <w:p w:rsidR="00083A93" w:rsidRDefault="00083A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CAE"/>
    <w:multiLevelType w:val="multilevel"/>
    <w:tmpl w:val="2FBD2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C30BC"/>
    <w:rsid w:val="00083A93"/>
    <w:rsid w:val="0059047E"/>
    <w:rsid w:val="00DC30BC"/>
    <w:rsid w:val="16D4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0BC"/>
    <w:pPr>
      <w:spacing w:after="200" w:line="276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DC30B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30BC"/>
    <w:pPr>
      <w:ind w:left="720"/>
      <w:contextualSpacing/>
    </w:pPr>
  </w:style>
  <w:style w:type="character" w:customStyle="1" w:styleId="apple-converted-space">
    <w:name w:val="apple-converted-space"/>
    <w:basedOn w:val="a0"/>
    <w:qFormat/>
    <w:rsid w:val="00DC30BC"/>
  </w:style>
  <w:style w:type="paragraph" w:styleId="a5">
    <w:name w:val="Balloon Text"/>
    <w:basedOn w:val="a"/>
    <w:link w:val="a6"/>
    <w:rsid w:val="0059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9047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2;&#1088;&#1075;&#1072;&#1076;&#1072;.&#1088;&#1092;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1623</Words>
  <Characters>9257</Characters>
  <Application>Microsoft Office Word</Application>
  <DocSecurity>0</DocSecurity>
  <Lines>77</Lines>
  <Paragraphs>21</Paragraphs>
  <ScaleCrop>false</ScaleCrop>
  <Company>Microsoft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2021-12-02T03:39:00Z</dcterms:created>
  <dcterms:modified xsi:type="dcterms:W3CDTF">2021-12-03T06:40:00Z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F3DAB338AAFD486499ECAC7F71A7A5F6</vt:lpwstr>
  </property>
</Properties>
</file>